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line="360" w:lineRule="auto"/>
      </w:pPr>
      <w:bookmarkStart w:id="0" w:name="_Toc453098777"/>
      <w:bookmarkStart w:id="1" w:name="_Toc12290"/>
      <w:bookmarkStart w:id="2" w:name="_Toc212266410"/>
      <w:r>
        <w:rPr>
          <w:rFonts w:hint="eastAsia"/>
        </w:rPr>
        <w:t xml:space="preserve">第二部分  </w:t>
      </w:r>
      <w:bookmarkStart w:id="6" w:name="_GoBack"/>
      <w:r>
        <w:rPr>
          <w:rFonts w:hint="eastAsia"/>
        </w:rPr>
        <w:t>供应商须知</w:t>
      </w:r>
      <w:bookmarkEnd w:id="6"/>
      <w:bookmarkEnd w:id="0"/>
      <w:bookmarkEnd w:id="1"/>
      <w:bookmarkEnd w:id="2"/>
    </w:p>
    <w:p>
      <w:pPr>
        <w:pStyle w:val="12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rFonts w:hint="eastAsia"/>
          <w:b/>
          <w:sz w:val="24"/>
        </w:rPr>
        <w:t xml:space="preserve"> 供应商</w:t>
      </w:r>
    </w:p>
    <w:p>
      <w:pPr>
        <w:pStyle w:val="12"/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1.合格供应商的范围</w:t>
      </w:r>
    </w:p>
    <w:p>
      <w:pPr>
        <w:pStyle w:val="12"/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1．1具有独立承担民事责任的能力；</w:t>
      </w:r>
    </w:p>
    <w:p>
      <w:pPr>
        <w:pStyle w:val="12"/>
        <w:spacing w:line="360" w:lineRule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    1．2具有良好的商业信誉和依法纳税的良好记录；</w:t>
      </w:r>
    </w:p>
    <w:p>
      <w:pPr>
        <w:pStyle w:val="12"/>
        <w:spacing w:line="360" w:lineRule="auto"/>
        <w:ind w:firstLine="480"/>
        <w:rPr>
          <w:bCs/>
          <w:sz w:val="24"/>
        </w:rPr>
      </w:pPr>
      <w:r>
        <w:rPr>
          <w:rFonts w:hint="eastAsia"/>
          <w:bCs/>
          <w:sz w:val="24"/>
        </w:rPr>
        <w:t>1．3具有履行合同所必需的设备和专业技术能力；</w:t>
      </w:r>
    </w:p>
    <w:p>
      <w:pPr>
        <w:pStyle w:val="12"/>
        <w:numPr>
          <w:ilvl w:val="0"/>
          <w:numId w:val="1"/>
        </w:numPr>
        <w:spacing w:line="360" w:lineRule="auto"/>
        <w:ind w:firstLine="480"/>
        <w:rPr>
          <w:bCs/>
          <w:sz w:val="24"/>
        </w:rPr>
      </w:pPr>
      <w:r>
        <w:rPr>
          <w:rFonts w:hint="eastAsia"/>
          <w:bCs/>
          <w:sz w:val="24"/>
          <w:lang w:val="en-US" w:eastAsia="zh-CN"/>
        </w:rPr>
        <w:t>4</w:t>
      </w:r>
      <w:r>
        <w:rPr>
          <w:rFonts w:hint="eastAsia"/>
          <w:bCs/>
          <w:sz w:val="24"/>
        </w:rPr>
        <w:t>具有完善的售后服务能力和相应的质量保证措施；</w:t>
      </w:r>
    </w:p>
    <w:p>
      <w:pPr>
        <w:pStyle w:val="12"/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1．</w:t>
      </w:r>
      <w:r>
        <w:rPr>
          <w:rFonts w:hint="eastAsia"/>
          <w:bCs/>
          <w:sz w:val="24"/>
          <w:lang w:val="en-US" w:eastAsia="zh-CN"/>
        </w:rPr>
        <w:t>5</w:t>
      </w:r>
      <w:r>
        <w:rPr>
          <w:rFonts w:hint="eastAsia"/>
          <w:bCs/>
          <w:sz w:val="24"/>
        </w:rPr>
        <w:t>参加政府采购活动前三年内，在经营活动中没有违法记录；</w:t>
      </w:r>
    </w:p>
    <w:p>
      <w:pPr>
        <w:pStyle w:val="12"/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1．</w:t>
      </w:r>
      <w:r>
        <w:rPr>
          <w:rFonts w:hint="eastAsia"/>
          <w:bCs/>
          <w:sz w:val="24"/>
          <w:lang w:val="en-US" w:eastAsia="zh-CN"/>
        </w:rPr>
        <w:t>6</w:t>
      </w:r>
      <w:r>
        <w:rPr>
          <w:rFonts w:hint="eastAsia"/>
          <w:bCs/>
          <w:sz w:val="24"/>
        </w:rPr>
        <w:t xml:space="preserve"> 具备法律行政法规规定的其他条件；</w:t>
      </w:r>
    </w:p>
    <w:p>
      <w:pPr>
        <w:pStyle w:val="12"/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1．</w:t>
      </w:r>
      <w:r>
        <w:rPr>
          <w:rFonts w:hint="eastAsia"/>
          <w:bCs/>
          <w:sz w:val="24"/>
          <w:lang w:val="en-US" w:eastAsia="zh-CN"/>
        </w:rPr>
        <w:t>7</w:t>
      </w:r>
      <w:r>
        <w:rPr>
          <w:rFonts w:hint="eastAsia"/>
          <w:bCs/>
          <w:sz w:val="24"/>
        </w:rPr>
        <w:t>完全满足招标文件的实质性要求；</w:t>
      </w:r>
    </w:p>
    <w:p>
      <w:pPr>
        <w:pStyle w:val="12"/>
        <w:numPr>
          <w:ilvl w:val="0"/>
          <w:numId w:val="2"/>
        </w:numPr>
        <w:spacing w:line="360" w:lineRule="auto"/>
        <w:rPr>
          <w:bCs/>
          <w:sz w:val="24"/>
        </w:rPr>
      </w:pPr>
      <w:r>
        <w:rPr>
          <w:rFonts w:hint="eastAsia"/>
          <w:bCs/>
          <w:sz w:val="24"/>
          <w:lang w:val="en-US" w:eastAsia="zh-CN"/>
        </w:rPr>
        <w:t>8</w:t>
      </w:r>
      <w:r>
        <w:rPr>
          <w:rFonts w:hint="eastAsia"/>
          <w:bCs/>
          <w:sz w:val="24"/>
        </w:rPr>
        <w:t>凡具备招标文件要求资格，有服务能力的供应商均可参加。</w:t>
      </w:r>
    </w:p>
    <w:p>
      <w:pPr>
        <w:pStyle w:val="12"/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sz w:val="24"/>
        </w:rPr>
        <w:t xml:space="preserve">   </w:t>
      </w:r>
    </w:p>
    <w:p>
      <w:pPr>
        <w:pStyle w:val="12"/>
        <w:spacing w:line="360" w:lineRule="auto"/>
        <w:jc w:val="center"/>
        <w:rPr>
          <w:b/>
          <w:bCs/>
          <w:sz w:val="24"/>
        </w:rPr>
      </w:pPr>
      <w:r>
        <w:rPr>
          <w:b/>
          <w:sz w:val="24"/>
        </w:rPr>
        <w:t>B</w:t>
      </w:r>
      <w:r>
        <w:rPr>
          <w:rFonts w:hint="eastAsia"/>
          <w:b/>
          <w:sz w:val="24"/>
        </w:rPr>
        <w:t xml:space="preserve"> 招标文件的说明</w:t>
      </w:r>
    </w:p>
    <w:p>
      <w:pPr>
        <w:pStyle w:val="12"/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2．招标文件</w:t>
      </w:r>
    </w:p>
    <w:p>
      <w:pPr>
        <w:pStyle w:val="12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2．1招标文件由招标文件目录所列内容组成。</w:t>
      </w:r>
    </w:p>
    <w:p>
      <w:pPr>
        <w:pStyle w:val="12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2．2供应商应详细阅读招标文件的全部内容。不按招标文件的要求提供的投标文件和资料，可能导致投标被拒绝。</w:t>
      </w:r>
    </w:p>
    <w:p>
      <w:pPr>
        <w:pStyle w:val="12"/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3．招标文件的澄清</w:t>
      </w:r>
    </w:p>
    <w:p>
      <w:pPr>
        <w:pStyle w:val="12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3．1供应商对招标文件如有疑点要求澄清，或认为有必要与采购人</w:t>
      </w:r>
      <w:r>
        <w:rPr>
          <w:rFonts w:hint="eastAsia"/>
          <w:sz w:val="24"/>
          <w:lang w:eastAsia="zh-CN"/>
        </w:rPr>
        <w:t>（北京大学首钢医院）</w:t>
      </w:r>
      <w:r>
        <w:rPr>
          <w:rFonts w:hint="eastAsia"/>
          <w:sz w:val="24"/>
        </w:rPr>
        <w:t>进行技术交流时，可在开标截止日期十五日前以书面、传真形式通知</w:t>
      </w:r>
      <w:r>
        <w:rPr>
          <w:rFonts w:hint="eastAsia"/>
          <w:sz w:val="24"/>
          <w:lang w:eastAsia="zh-CN"/>
        </w:rPr>
        <w:t>采购人</w:t>
      </w:r>
      <w:r>
        <w:rPr>
          <w:rFonts w:hint="eastAsia"/>
          <w:sz w:val="24"/>
        </w:rPr>
        <w:t>。</w:t>
      </w:r>
      <w:r>
        <w:rPr>
          <w:rFonts w:hint="eastAsia"/>
          <w:sz w:val="24"/>
          <w:lang w:eastAsia="zh-CN"/>
        </w:rPr>
        <w:t>采购人</w:t>
      </w:r>
      <w:r>
        <w:rPr>
          <w:rFonts w:hint="eastAsia"/>
          <w:sz w:val="24"/>
        </w:rPr>
        <w:t>视情况予以答复，如有必要，可将答复内容包括原提出的问题，分发给所有供应商。</w:t>
      </w:r>
    </w:p>
    <w:p>
      <w:pPr>
        <w:pStyle w:val="12"/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4．招标文件的修改</w:t>
      </w:r>
    </w:p>
    <w:p>
      <w:pPr>
        <w:pStyle w:val="12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4．1在投标截止日期前，</w:t>
      </w:r>
      <w:r>
        <w:rPr>
          <w:rFonts w:hint="eastAsia"/>
          <w:sz w:val="24"/>
          <w:lang w:eastAsia="zh-CN"/>
        </w:rPr>
        <w:t>采购人</w:t>
      </w:r>
      <w:r>
        <w:rPr>
          <w:rFonts w:hint="eastAsia"/>
          <w:sz w:val="24"/>
        </w:rPr>
        <w:t>均可对招标文件用补充文件的方式进行修改。</w:t>
      </w:r>
    </w:p>
    <w:p>
      <w:pPr>
        <w:pStyle w:val="12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4．2对招标文件的修改、补充，将以书面、传真的形式通知已领取招标文件的每一供应商。修改、补充内容将作为招标文件的组成部分，对</w:t>
      </w:r>
      <w:r>
        <w:rPr>
          <w:rFonts w:hint="eastAsia"/>
          <w:sz w:val="24"/>
          <w:lang w:eastAsia="zh-CN"/>
        </w:rPr>
        <w:t>采购人</w:t>
      </w:r>
      <w:r>
        <w:rPr>
          <w:rFonts w:hint="eastAsia"/>
          <w:sz w:val="24"/>
        </w:rPr>
        <w:t>和所有供应商均具有约束力。</w:t>
      </w:r>
    </w:p>
    <w:p>
      <w:pPr>
        <w:pStyle w:val="12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4．3为使供应商有足够的时间按招标文件的修改、补充要求考虑修正投标文件，</w:t>
      </w:r>
      <w:r>
        <w:rPr>
          <w:rFonts w:hint="eastAsia"/>
          <w:sz w:val="24"/>
          <w:lang w:eastAsia="zh-CN"/>
        </w:rPr>
        <w:t>采购人</w:t>
      </w:r>
      <w:r>
        <w:rPr>
          <w:rFonts w:hint="eastAsia"/>
          <w:sz w:val="24"/>
        </w:rPr>
        <w:t>可酌情推迟投标的截止日期和开标日期，并将此变更通知上述每一供应商。</w:t>
      </w:r>
    </w:p>
    <w:p>
      <w:pPr>
        <w:pStyle w:val="12"/>
        <w:spacing w:line="360" w:lineRule="auto"/>
        <w:jc w:val="center"/>
        <w:rPr>
          <w:b/>
          <w:sz w:val="24"/>
        </w:rPr>
      </w:pPr>
    </w:p>
    <w:p>
      <w:pPr>
        <w:pStyle w:val="12"/>
        <w:spacing w:line="360" w:lineRule="auto"/>
        <w:jc w:val="center"/>
        <w:rPr>
          <w:b/>
          <w:sz w:val="24"/>
        </w:rPr>
      </w:pPr>
    </w:p>
    <w:p>
      <w:pPr>
        <w:pStyle w:val="12"/>
        <w:spacing w:line="360" w:lineRule="auto"/>
        <w:jc w:val="center"/>
        <w:rPr>
          <w:b/>
          <w:sz w:val="24"/>
        </w:rPr>
      </w:pPr>
    </w:p>
    <w:p>
      <w:pPr>
        <w:pStyle w:val="12"/>
        <w:spacing w:line="360" w:lineRule="auto"/>
        <w:jc w:val="center"/>
        <w:rPr>
          <w:b/>
          <w:bCs/>
          <w:sz w:val="24"/>
        </w:rPr>
      </w:pPr>
      <w:r>
        <w:rPr>
          <w:b/>
          <w:sz w:val="24"/>
        </w:rPr>
        <w:t>C</w:t>
      </w:r>
      <w:r>
        <w:rPr>
          <w:rFonts w:hint="eastAsia"/>
          <w:b/>
          <w:sz w:val="24"/>
        </w:rPr>
        <w:t xml:space="preserve">  投标文件</w:t>
      </w:r>
    </w:p>
    <w:p>
      <w:pPr>
        <w:pStyle w:val="12"/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5．投标文件计量单位和文字</w:t>
      </w:r>
    </w:p>
    <w:p>
      <w:pPr>
        <w:pStyle w:val="12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5．1投标文件中所使用的计量单位，除招标文件中有特殊要求外，均采用国家法定计量单位。</w:t>
      </w:r>
    </w:p>
    <w:p>
      <w:pPr>
        <w:pStyle w:val="12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5．2投标文件及供应商与采购人之间与投标有关的来往通知、函件和文件均应使用中文。</w:t>
      </w:r>
    </w:p>
    <w:p>
      <w:pPr>
        <w:pStyle w:val="12"/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6．投标文件</w:t>
      </w:r>
    </w:p>
    <w:p>
      <w:pPr>
        <w:pStyle w:val="12"/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sz w:val="24"/>
        </w:rPr>
        <w:t>6．1</w:t>
      </w:r>
      <w:r>
        <w:rPr>
          <w:rFonts w:hint="eastAsia"/>
          <w:b/>
          <w:bCs/>
          <w:sz w:val="24"/>
        </w:rPr>
        <w:t>投标文件的组成</w:t>
      </w:r>
    </w:p>
    <w:p>
      <w:pPr>
        <w:pStyle w:val="12"/>
        <w:spacing w:line="360" w:lineRule="auto"/>
        <w:ind w:firstLine="480" w:firstLineChars="200"/>
        <w:rPr>
          <w:bCs/>
          <w:color w:val="000000"/>
          <w:kern w:val="0"/>
          <w:sz w:val="24"/>
          <w:szCs w:val="24"/>
        </w:rPr>
      </w:pPr>
      <w:r>
        <w:rPr>
          <w:rFonts w:hint="eastAsia"/>
          <w:bCs/>
          <w:color w:val="000000"/>
          <w:kern w:val="0"/>
          <w:sz w:val="24"/>
          <w:szCs w:val="24"/>
        </w:rPr>
        <w:t>(1)投标函</w:t>
      </w:r>
    </w:p>
    <w:p>
      <w:pPr>
        <w:pStyle w:val="12"/>
        <w:spacing w:line="360" w:lineRule="auto"/>
        <w:ind w:firstLine="480" w:firstLineChars="200"/>
        <w:rPr>
          <w:bCs/>
          <w:color w:val="000000"/>
          <w:kern w:val="0"/>
          <w:sz w:val="24"/>
          <w:szCs w:val="24"/>
        </w:rPr>
      </w:pPr>
      <w:r>
        <w:rPr>
          <w:rFonts w:hint="eastAsia"/>
          <w:bCs/>
          <w:color w:val="000000"/>
          <w:kern w:val="0"/>
          <w:sz w:val="24"/>
          <w:szCs w:val="24"/>
        </w:rPr>
        <w:t>(2)唱标一览表</w:t>
      </w:r>
    </w:p>
    <w:p>
      <w:pPr>
        <w:pStyle w:val="12"/>
        <w:spacing w:line="360" w:lineRule="auto"/>
        <w:ind w:firstLine="480" w:firstLineChars="200"/>
        <w:rPr>
          <w:bCs/>
          <w:color w:val="000000"/>
          <w:kern w:val="0"/>
          <w:sz w:val="24"/>
          <w:szCs w:val="24"/>
        </w:rPr>
      </w:pPr>
      <w:r>
        <w:rPr>
          <w:rFonts w:hint="eastAsia"/>
          <w:bCs/>
          <w:color w:val="000000"/>
          <w:kern w:val="0"/>
          <w:sz w:val="24"/>
          <w:szCs w:val="24"/>
        </w:rPr>
        <w:t>(3)投标报价明细表</w:t>
      </w:r>
    </w:p>
    <w:p>
      <w:pPr>
        <w:pStyle w:val="12"/>
        <w:spacing w:line="360" w:lineRule="auto"/>
        <w:ind w:firstLine="480" w:firstLineChars="200"/>
        <w:rPr>
          <w:rFonts w:hint="eastAsia"/>
          <w:bCs/>
          <w:color w:val="000000"/>
          <w:kern w:val="0"/>
          <w:sz w:val="24"/>
          <w:szCs w:val="24"/>
        </w:rPr>
      </w:pPr>
      <w:r>
        <w:rPr>
          <w:rFonts w:hint="eastAsia"/>
          <w:bCs/>
          <w:color w:val="000000"/>
          <w:kern w:val="0"/>
          <w:sz w:val="24"/>
          <w:szCs w:val="24"/>
        </w:rPr>
        <w:t>(4)产品说明（包括产品名称、品牌、规格型号、制造商、原产地、外观质量、技术指标、性能指标、主要技术参数说明、货物的使命寿命、符合国家及地方质量、标准的情况等）</w:t>
      </w:r>
    </w:p>
    <w:p>
      <w:pPr>
        <w:pStyle w:val="12"/>
        <w:spacing w:line="360" w:lineRule="auto"/>
        <w:ind w:firstLine="480" w:firstLineChars="200"/>
        <w:rPr>
          <w:bCs/>
          <w:color w:val="000000"/>
          <w:kern w:val="0"/>
          <w:sz w:val="24"/>
          <w:szCs w:val="24"/>
        </w:rPr>
      </w:pPr>
      <w:r>
        <w:rPr>
          <w:rFonts w:hint="eastAsia"/>
          <w:bCs/>
          <w:color w:val="000000"/>
          <w:kern w:val="0"/>
          <w:sz w:val="24"/>
          <w:szCs w:val="24"/>
        </w:rPr>
        <w:t>(5)产品合格证书等</w:t>
      </w:r>
    </w:p>
    <w:p>
      <w:pPr>
        <w:pStyle w:val="12"/>
        <w:spacing w:line="360" w:lineRule="auto"/>
        <w:ind w:firstLine="480" w:firstLineChars="200"/>
        <w:rPr>
          <w:bCs/>
          <w:color w:val="000000"/>
          <w:kern w:val="0"/>
          <w:sz w:val="24"/>
          <w:szCs w:val="24"/>
        </w:rPr>
      </w:pPr>
      <w:r>
        <w:rPr>
          <w:rFonts w:hint="eastAsia"/>
          <w:bCs/>
          <w:color w:val="000000"/>
          <w:kern w:val="0"/>
          <w:sz w:val="24"/>
          <w:szCs w:val="24"/>
        </w:rPr>
        <w:t>(6)</w:t>
      </w:r>
      <w:r>
        <w:rPr>
          <w:rFonts w:hint="eastAsia"/>
          <w:bCs/>
          <w:sz w:val="24"/>
        </w:rPr>
        <w:t>所报货物的备品备件清单</w:t>
      </w:r>
    </w:p>
    <w:p>
      <w:pPr>
        <w:pStyle w:val="12"/>
        <w:spacing w:line="360" w:lineRule="auto"/>
        <w:ind w:firstLine="480" w:firstLineChars="200"/>
        <w:rPr>
          <w:bCs/>
          <w:color w:val="000000"/>
          <w:kern w:val="0"/>
          <w:sz w:val="24"/>
          <w:szCs w:val="24"/>
        </w:rPr>
      </w:pPr>
      <w:r>
        <w:rPr>
          <w:rFonts w:hint="eastAsia"/>
          <w:bCs/>
          <w:color w:val="000000"/>
          <w:kern w:val="0"/>
          <w:sz w:val="24"/>
          <w:szCs w:val="24"/>
        </w:rPr>
        <w:t>(7)技术参数、技术规范偏离表</w:t>
      </w:r>
    </w:p>
    <w:p>
      <w:pPr>
        <w:pStyle w:val="12"/>
        <w:spacing w:line="360" w:lineRule="auto"/>
        <w:ind w:firstLine="480" w:firstLineChars="200"/>
        <w:rPr>
          <w:bCs/>
          <w:color w:val="000000"/>
          <w:kern w:val="0"/>
          <w:sz w:val="24"/>
          <w:szCs w:val="24"/>
        </w:rPr>
      </w:pPr>
      <w:r>
        <w:rPr>
          <w:rFonts w:hint="eastAsia"/>
          <w:bCs/>
          <w:color w:val="000000"/>
          <w:kern w:val="0"/>
          <w:sz w:val="24"/>
          <w:szCs w:val="24"/>
        </w:rPr>
        <w:t>(8)供货安装、实施方案、优化设计方案、供货期或完工时限保证措施等</w:t>
      </w:r>
    </w:p>
    <w:p>
      <w:pPr>
        <w:pStyle w:val="12"/>
        <w:spacing w:line="360" w:lineRule="auto"/>
        <w:ind w:firstLine="480" w:firstLineChars="200"/>
        <w:rPr>
          <w:bCs/>
          <w:color w:val="000000"/>
          <w:kern w:val="0"/>
          <w:sz w:val="24"/>
          <w:szCs w:val="24"/>
        </w:rPr>
      </w:pPr>
      <w:r>
        <w:rPr>
          <w:rFonts w:hint="eastAsia"/>
          <w:bCs/>
          <w:color w:val="000000"/>
          <w:kern w:val="0"/>
          <w:sz w:val="24"/>
          <w:szCs w:val="24"/>
        </w:rPr>
        <w:t>(9)售后服务承诺【包括：供货时间、安装调试完成时间，免费质保期及质保期内产品维护（维护、保养）上门服务响应时间、售后技术指导和服务承诺，超出质保期的产品维修（维护、保养）方式及服务响应时间、是否收费及收费标准，技术服务响应时间、质量保证措施及承诺，备品备件的供应、故障排除时限、联系人、联系电话等】</w:t>
      </w:r>
    </w:p>
    <w:p>
      <w:pPr>
        <w:pStyle w:val="12"/>
        <w:spacing w:line="360" w:lineRule="auto"/>
        <w:ind w:firstLine="480" w:firstLineChars="200"/>
        <w:rPr>
          <w:sz w:val="24"/>
        </w:rPr>
      </w:pPr>
      <w:r>
        <w:rPr>
          <w:rFonts w:hint="eastAsia"/>
          <w:bCs/>
          <w:color w:val="000000"/>
          <w:kern w:val="0"/>
          <w:sz w:val="24"/>
          <w:szCs w:val="24"/>
        </w:rPr>
        <w:t>(10) 投标供应商2014年以来承接的类似项目业绩</w:t>
      </w:r>
    </w:p>
    <w:p>
      <w:pPr>
        <w:pStyle w:val="12"/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（1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）供应商简介及资质证明文件</w:t>
      </w:r>
    </w:p>
    <w:p>
      <w:pPr>
        <w:pStyle w:val="12"/>
        <w:spacing w:line="360" w:lineRule="auto"/>
        <w:ind w:firstLine="480" w:firstLineChars="200"/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：《营业执照》副本</w:t>
      </w:r>
      <w:r>
        <w:rPr>
          <w:rFonts w:hint="eastAsia"/>
          <w:kern w:val="0"/>
          <w:sz w:val="24"/>
        </w:rPr>
        <w:t>（</w:t>
      </w:r>
      <w:r>
        <w:rPr>
          <w:rFonts w:hint="eastAsia"/>
          <w:sz w:val="24"/>
        </w:rPr>
        <w:t>或由发证机关或公证处出具的证明</w:t>
      </w:r>
      <w:r>
        <w:rPr>
          <w:rFonts w:hint="eastAsia"/>
          <w:kern w:val="0"/>
          <w:sz w:val="24"/>
        </w:rPr>
        <w:t>）</w:t>
      </w:r>
      <w:r>
        <w:rPr>
          <w:rFonts w:hint="eastAsia"/>
          <w:sz w:val="24"/>
        </w:rPr>
        <w:t>复印件</w:t>
      </w:r>
    </w:p>
    <w:p>
      <w:pPr>
        <w:pStyle w:val="12"/>
        <w:spacing w:line="360" w:lineRule="auto"/>
        <w:ind w:firstLine="480" w:firstLineChars="200"/>
        <w:rPr>
          <w:sz w:val="24"/>
        </w:rPr>
      </w:pPr>
      <w:r>
        <w:rPr>
          <w:sz w:val="24"/>
        </w:rPr>
        <w:t>b</w:t>
      </w:r>
      <w:r>
        <w:rPr>
          <w:rFonts w:hint="eastAsia"/>
          <w:sz w:val="24"/>
        </w:rPr>
        <w:t>：《税务登记证》副本</w:t>
      </w:r>
      <w:r>
        <w:rPr>
          <w:rFonts w:hint="eastAsia"/>
          <w:kern w:val="0"/>
          <w:sz w:val="24"/>
        </w:rPr>
        <w:t>（</w:t>
      </w:r>
      <w:r>
        <w:rPr>
          <w:rFonts w:hint="eastAsia"/>
          <w:sz w:val="24"/>
        </w:rPr>
        <w:t>或由发证机关或公证处出具的证明</w:t>
      </w:r>
      <w:r>
        <w:rPr>
          <w:rFonts w:hint="eastAsia"/>
          <w:kern w:val="0"/>
          <w:sz w:val="24"/>
        </w:rPr>
        <w:t>）</w:t>
      </w:r>
      <w:r>
        <w:rPr>
          <w:rFonts w:hint="eastAsia"/>
          <w:sz w:val="24"/>
        </w:rPr>
        <w:t>复印件</w:t>
      </w:r>
    </w:p>
    <w:p>
      <w:pPr>
        <w:pStyle w:val="12"/>
        <w:tabs>
          <w:tab w:val="right" w:pos="918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c：《组织机构代码证》副本（或由发证机关或公证处出具的证明）复印件</w:t>
      </w:r>
    </w:p>
    <w:p>
      <w:pPr>
        <w:pStyle w:val="12"/>
        <w:tabs>
          <w:tab w:val="right" w:pos="918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d： 供应商具有安全智能管理系统的软件著作权证书</w:t>
      </w:r>
    </w:p>
    <w:p>
      <w:pPr>
        <w:pStyle w:val="12"/>
        <w:tabs>
          <w:tab w:val="right" w:pos="918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e：供应商具有 ISO9001 质量管理体系认证证书 、ISO14001 环境管理体系认证证书、OHSAS18001 职业健康安全管理体系认证证书；</w:t>
      </w:r>
    </w:p>
    <w:p>
      <w:pPr>
        <w:pStyle w:val="12"/>
        <w:tabs>
          <w:tab w:val="right" w:pos="918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f：供应商具有电气设备及系统的技术开发、物联网科技、计算机软硬件技术开发、新能源技术开发的营业范围；</w:t>
      </w:r>
    </w:p>
    <w:p>
      <w:pPr>
        <w:pStyle w:val="12"/>
        <w:tabs>
          <w:tab w:val="right" w:pos="918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g：供应商具有后勤整体安全管理平台开发能力，并且为医院后期智慧后勤建设无偿提供底层架构和软件接口开放，中标后要求写入合同</w:t>
      </w:r>
    </w:p>
    <w:p>
      <w:pPr>
        <w:pStyle w:val="12"/>
        <w:tabs>
          <w:tab w:val="right" w:pos="918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h：如法定代表人参加会议需提供法定代表人身份证原件及复印件 </w:t>
      </w:r>
    </w:p>
    <w:p>
      <w:pPr>
        <w:pStyle w:val="12"/>
        <w:tabs>
          <w:tab w:val="right" w:pos="918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如被授权代表参加会议，</w:t>
      </w:r>
      <w:r>
        <w:rPr>
          <w:rFonts w:hint="eastAsia"/>
          <w:bCs/>
          <w:sz w:val="24"/>
        </w:rPr>
        <w:t>应提供法定代表人授权书及被授权人居民身份证；</w:t>
      </w:r>
      <w:r>
        <w:rPr>
          <w:rFonts w:hint="eastAsia"/>
          <w:sz w:val="24"/>
        </w:rPr>
        <w:tab/>
      </w:r>
    </w:p>
    <w:p>
      <w:pPr>
        <w:pStyle w:val="12"/>
        <w:tabs>
          <w:tab w:val="right" w:pos="918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i：参加政府采购活动前3年内在经营活动中没有违法记录的书面声明复印件</w:t>
      </w:r>
    </w:p>
    <w:p>
      <w:pPr>
        <w:pStyle w:val="12"/>
        <w:tabs>
          <w:tab w:val="right" w:pos="918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j</w:t>
      </w:r>
      <w:r>
        <w:rPr>
          <w:rFonts w:hint="eastAsia"/>
          <w:sz w:val="24"/>
        </w:rPr>
        <w:t>：填写《廉洁承诺书》，签名并加盖投标人单位公章；</w:t>
      </w:r>
    </w:p>
    <w:p>
      <w:pPr>
        <w:pStyle w:val="12"/>
        <w:tabs>
          <w:tab w:val="right" w:pos="918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k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eastAsia="zh-CN"/>
        </w:rPr>
        <w:t>供应商</w:t>
      </w:r>
      <w:r>
        <w:rPr>
          <w:rFonts w:hint="eastAsia"/>
          <w:sz w:val="24"/>
        </w:rPr>
        <w:t>报名时需携带以上资质复印件并加盖公章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/>
          <w:sz w:val="24"/>
        </w:rPr>
        <w:t>(1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)供应商认为需要说明的其他内容。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sz w:val="24"/>
        </w:rPr>
        <w:t>7．投标内容填写说明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7．1投标文件按本招标文件第五部分要求的统一格式填写，按6.1要求的顺序胶装成册，并填写“投标文件资料清单、目录”，以方便阅读。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7．2投标报价表为开标仪式上唱标的内容，要求按格式填写，统一规范，不得自行增减内容。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8．投标报价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</w:t>
      </w:r>
      <w:r>
        <w:rPr>
          <w:rFonts w:hint="eastAsia" w:ascii="宋体" w:hAnsi="宋体"/>
          <w:b/>
          <w:sz w:val="24"/>
        </w:rPr>
        <w:t>.</w:t>
      </w:r>
      <w:r>
        <w:rPr>
          <w:rFonts w:hint="eastAsia" w:ascii="宋体" w:hAnsi="宋体"/>
          <w:sz w:val="24"/>
        </w:rPr>
        <w:t xml:space="preserve"> 1所有投标均以人民币报价，投标价格一次性报定，不能修改。</w:t>
      </w:r>
    </w:p>
    <w:p>
      <w:pPr>
        <w:pStyle w:val="12"/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8．2各供应商按照招标文件的要求及招标文件提供的报价表进行报价，报价含产品供货完毕后的全部费税价格，承担所有配件费用，其内容包括但不仅限于：货物、安装、配件、附件、备品备件、专用工具安装、调试、耗品、辅材、包装、运输、装卸、安装、调试、检测、验收、人员培训、售后服务、政策性文件规定及合同包含的所有风险责任的各项费用、技术指导、利润、税金等全部费用；在其他情况下，由于分项报价填报不完整、不清楚或存在其他任何失误，所导致的任何不利后果均应当由供应商自行承担。</w:t>
      </w:r>
    </w:p>
    <w:p>
      <w:pPr>
        <w:pStyle w:val="12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随机附件中的备品备件、易损件、专用工具价按该种类</w:t>
      </w:r>
      <w:r>
        <w:rPr>
          <w:sz w:val="24"/>
        </w:rPr>
        <w:t>/</w:t>
      </w:r>
      <w:r>
        <w:rPr>
          <w:rFonts w:hint="eastAsia"/>
          <w:sz w:val="24"/>
        </w:rPr>
        <w:t>或型号规格货物</w:t>
      </w:r>
      <w:r>
        <w:rPr>
          <w:sz w:val="24"/>
        </w:rPr>
        <w:t>/</w:t>
      </w:r>
      <w:r>
        <w:rPr>
          <w:rFonts w:hint="eastAsia"/>
          <w:sz w:val="24"/>
        </w:rPr>
        <w:t>设备台数的需要量以表列报，并计入货物</w:t>
      </w:r>
      <w:r>
        <w:rPr>
          <w:sz w:val="24"/>
        </w:rPr>
        <w:t>/</w:t>
      </w:r>
      <w:r>
        <w:rPr>
          <w:rFonts w:hint="eastAsia"/>
          <w:sz w:val="24"/>
        </w:rPr>
        <w:t>设备总价及投标总报价。</w:t>
      </w:r>
    </w:p>
    <w:p>
      <w:pPr>
        <w:pStyle w:val="12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招标文件要求投标人所报投标报价全面考虑招标文件明示、暗示的所有风险和责任、义务等的全部费用。投标报价应是招标范围内全部工作内容的价格体现。投标文件一经提交，则将被视为发包内容的全部费用已经包含在投标报价内。</w:t>
      </w:r>
    </w:p>
    <w:p>
      <w:pPr>
        <w:pStyle w:val="12"/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9．投标文件的有效期</w:t>
      </w:r>
    </w:p>
    <w:p>
      <w:pPr>
        <w:pStyle w:val="12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9．1自开标日起</w:t>
      </w:r>
      <w:r>
        <w:rPr>
          <w:rFonts w:hint="eastAsia"/>
          <w:b/>
          <w:bCs/>
          <w:sz w:val="24"/>
        </w:rPr>
        <w:t>90</w:t>
      </w:r>
      <w:r>
        <w:rPr>
          <w:rFonts w:hint="eastAsia"/>
          <w:sz w:val="24"/>
        </w:rPr>
        <w:t>天内，投标文件应保持有效。有效期短于这个规定期限的投标，将被拒绝。</w:t>
      </w:r>
    </w:p>
    <w:p>
      <w:pPr>
        <w:pStyle w:val="12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9．2在特殊情况下，采购人可与供应商协商延长投标书的有效期。这种要求和答复都应以书面、传真的形式进行。</w:t>
      </w:r>
    </w:p>
    <w:p>
      <w:pPr>
        <w:pStyle w:val="12"/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10．投标文件的签署及规定</w:t>
      </w:r>
    </w:p>
    <w:p>
      <w:pPr>
        <w:pStyle w:val="12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10．1组成投标文件的各项资料均应遵守本条。</w:t>
      </w:r>
    </w:p>
    <w:p>
      <w:pPr>
        <w:pStyle w:val="12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10．2供应商应填写全称，同时加盖印章。</w:t>
      </w:r>
    </w:p>
    <w:p>
      <w:pPr>
        <w:pStyle w:val="12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10．3投标文件必须由全权代表签署。</w:t>
      </w:r>
    </w:p>
    <w:p>
      <w:pPr>
        <w:pStyle w:val="12"/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10．4 投标文件一式</w:t>
      </w:r>
      <w:r>
        <w:rPr>
          <w:rFonts w:hint="eastAsia"/>
          <w:b/>
          <w:sz w:val="24"/>
          <w:szCs w:val="24"/>
          <w:lang w:eastAsia="zh-CN"/>
        </w:rPr>
        <w:t>七</w:t>
      </w:r>
      <w:r>
        <w:rPr>
          <w:rFonts w:hint="eastAsia"/>
          <w:b/>
          <w:sz w:val="24"/>
          <w:szCs w:val="24"/>
        </w:rPr>
        <w:t>份。其中正本一份，副本六份。如果副本与正本不符，以正本为准。</w:t>
      </w:r>
    </w:p>
    <w:p>
      <w:pPr>
        <w:pStyle w:val="12"/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10．</w:t>
      </w:r>
      <w:bookmarkStart w:id="3" w:name="OLE_LINK2"/>
      <w:r>
        <w:rPr>
          <w:rFonts w:hint="eastAsia"/>
          <w:b/>
          <w:sz w:val="24"/>
          <w:szCs w:val="24"/>
        </w:rPr>
        <w:t>5投标文件应采用A4纸，黑色字迹打印，须胶装成册，不得出现散页、重页、掉页现象，不得采用活页夹，并分别注明“正本”、“副本”字样。</w:t>
      </w:r>
      <w:bookmarkEnd w:id="3"/>
      <w:r>
        <w:rPr>
          <w:rFonts w:hint="eastAsia"/>
          <w:b/>
          <w:sz w:val="24"/>
          <w:szCs w:val="24"/>
        </w:rPr>
        <w:t>（副本可以用复印件，但封面不得用复印件，注明“副本</w:t>
      </w:r>
      <w:r>
        <w:rPr>
          <w:b/>
          <w:sz w:val="24"/>
          <w:szCs w:val="24"/>
        </w:rPr>
        <w:t>”</w:t>
      </w:r>
      <w:r>
        <w:rPr>
          <w:rFonts w:hint="eastAsia"/>
          <w:b/>
          <w:sz w:val="24"/>
          <w:szCs w:val="24"/>
        </w:rPr>
        <w:t>字样）如未按规定胶装，其投标文件按无效标处理。</w:t>
      </w:r>
    </w:p>
    <w:p>
      <w:pPr>
        <w:pStyle w:val="12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10．6投标文件不得涂改和增删，如有修改错漏处，必须由同一签署人签字或盖章。</w:t>
      </w:r>
    </w:p>
    <w:p>
      <w:pPr>
        <w:pStyle w:val="12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10．7投标文件因字迹潦草或表达不清所引起的后果由供应商负责。</w:t>
      </w:r>
    </w:p>
    <w:p>
      <w:pPr>
        <w:pStyle w:val="12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D</w:t>
      </w:r>
      <w:r>
        <w:rPr>
          <w:rFonts w:hint="eastAsia"/>
          <w:b/>
          <w:sz w:val="24"/>
        </w:rPr>
        <w:t xml:space="preserve">  投标文件的递交</w:t>
      </w:r>
    </w:p>
    <w:p>
      <w:pPr>
        <w:pStyle w:val="12"/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11．投标文件的密封及标记</w:t>
      </w:r>
    </w:p>
    <w:p>
      <w:pPr>
        <w:pStyle w:val="12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11．1投标文件应按以下方法装袋密封；</w:t>
      </w:r>
    </w:p>
    <w:p>
      <w:pPr>
        <w:pStyle w:val="12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11．2投标文件密封装袋，封口处应有全权代表的签章和供应商公章。</w:t>
      </w:r>
    </w:p>
    <w:p>
      <w:pPr>
        <w:pStyle w:val="12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11．3如果供应商未按要求密封，造成对投标文件的误投和提前启封，责任由供应商自负。</w:t>
      </w:r>
    </w:p>
    <w:p>
      <w:pPr>
        <w:pStyle w:val="12"/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bCs/>
          <w:sz w:val="24"/>
        </w:rPr>
        <w:t>12．</w:t>
      </w:r>
      <w:r>
        <w:rPr>
          <w:rFonts w:hint="eastAsia"/>
          <w:b/>
          <w:sz w:val="24"/>
        </w:rPr>
        <w:t>投标截止时间</w:t>
      </w:r>
    </w:p>
    <w:p>
      <w:pPr>
        <w:pStyle w:val="12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12．1投标文件必须在投标截止时间前送达开标地点。 </w:t>
      </w:r>
    </w:p>
    <w:p>
      <w:pPr>
        <w:pStyle w:val="12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12．2在投标截止时间以后送达的投标文件，采购人拒绝接收。</w:t>
      </w:r>
    </w:p>
    <w:p>
      <w:pPr>
        <w:pStyle w:val="12"/>
        <w:spacing w:line="360" w:lineRule="auto"/>
        <w:rPr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   </w:t>
      </w:r>
      <w:r>
        <w:rPr>
          <w:rFonts w:hint="eastAsia"/>
          <w:b/>
          <w:sz w:val="24"/>
        </w:rPr>
        <w:t>13．投标文件的修改和撤回</w:t>
      </w:r>
    </w:p>
    <w:p>
      <w:pPr>
        <w:pStyle w:val="12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13．1递交投标文件以后，如果供应商提出书面修改和撤标要求，在投标截止时间前送达者，采购人可以予以接受。但不退还投标文件。</w:t>
      </w:r>
    </w:p>
    <w:p>
      <w:pPr>
        <w:pStyle w:val="12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13．2供应商修改投标文件的书面材料，须密封送达采购人，同时应在封套上标明“修改投标文件(并注明项目编号、供应商名称)”字样。</w:t>
      </w:r>
    </w:p>
    <w:p>
      <w:pPr>
        <w:pStyle w:val="12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13．3撤回投标应以书面或传真的形式通知采购人。如采取传真形式撤回投标，随后必须补充有全权代表签署的要求撤回投标的正式文件。撤回投标的时间以撤回投标通知书送达采购人日期为准。</w:t>
      </w:r>
    </w:p>
    <w:p>
      <w:pPr>
        <w:pStyle w:val="12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13．4开标后供应商不得撤回投标。</w:t>
      </w:r>
    </w:p>
    <w:p>
      <w:pPr>
        <w:pStyle w:val="12"/>
        <w:spacing w:line="360" w:lineRule="auto"/>
        <w:jc w:val="center"/>
        <w:rPr>
          <w:b/>
          <w:sz w:val="24"/>
        </w:rPr>
      </w:pPr>
    </w:p>
    <w:p>
      <w:pPr>
        <w:pStyle w:val="12"/>
        <w:spacing w:line="360" w:lineRule="auto"/>
        <w:jc w:val="center"/>
        <w:rPr>
          <w:b/>
          <w:sz w:val="24"/>
        </w:rPr>
      </w:pPr>
    </w:p>
    <w:p>
      <w:pPr>
        <w:pStyle w:val="12"/>
        <w:spacing w:line="360" w:lineRule="auto"/>
        <w:jc w:val="center"/>
        <w:rPr>
          <w:b/>
          <w:sz w:val="24"/>
        </w:rPr>
      </w:pPr>
    </w:p>
    <w:p>
      <w:pPr>
        <w:pStyle w:val="12"/>
        <w:spacing w:line="360" w:lineRule="auto"/>
        <w:jc w:val="center"/>
        <w:rPr>
          <w:b/>
          <w:sz w:val="24"/>
        </w:rPr>
      </w:pPr>
    </w:p>
    <w:p>
      <w:pPr>
        <w:pStyle w:val="12"/>
        <w:spacing w:line="360" w:lineRule="auto"/>
        <w:jc w:val="center"/>
        <w:rPr>
          <w:b/>
          <w:sz w:val="24"/>
        </w:rPr>
      </w:pPr>
    </w:p>
    <w:p>
      <w:pPr>
        <w:pStyle w:val="12"/>
        <w:spacing w:line="360" w:lineRule="auto"/>
        <w:jc w:val="center"/>
        <w:rPr>
          <w:b/>
          <w:sz w:val="24"/>
        </w:rPr>
      </w:pPr>
    </w:p>
    <w:p>
      <w:pPr>
        <w:pStyle w:val="12"/>
        <w:spacing w:line="360" w:lineRule="auto"/>
        <w:jc w:val="center"/>
        <w:rPr>
          <w:b/>
          <w:sz w:val="24"/>
        </w:rPr>
      </w:pPr>
    </w:p>
    <w:p>
      <w:pPr>
        <w:pStyle w:val="12"/>
        <w:spacing w:line="360" w:lineRule="auto"/>
        <w:jc w:val="center"/>
        <w:rPr>
          <w:b/>
          <w:sz w:val="24"/>
        </w:rPr>
      </w:pPr>
    </w:p>
    <w:p>
      <w:pPr>
        <w:pStyle w:val="12"/>
        <w:spacing w:line="360" w:lineRule="auto"/>
        <w:jc w:val="center"/>
        <w:rPr>
          <w:b/>
          <w:sz w:val="24"/>
        </w:rPr>
      </w:pPr>
    </w:p>
    <w:p>
      <w:pPr>
        <w:pStyle w:val="12"/>
        <w:spacing w:line="360" w:lineRule="auto"/>
        <w:jc w:val="center"/>
        <w:rPr>
          <w:b/>
          <w:sz w:val="24"/>
        </w:rPr>
      </w:pPr>
    </w:p>
    <w:p>
      <w:pPr>
        <w:pStyle w:val="12"/>
        <w:spacing w:line="360" w:lineRule="auto"/>
        <w:jc w:val="center"/>
        <w:rPr>
          <w:b/>
          <w:sz w:val="24"/>
        </w:rPr>
      </w:pPr>
    </w:p>
    <w:p>
      <w:pPr>
        <w:pStyle w:val="12"/>
        <w:spacing w:line="360" w:lineRule="auto"/>
        <w:jc w:val="center"/>
        <w:rPr>
          <w:b/>
          <w:sz w:val="24"/>
        </w:rPr>
      </w:pPr>
    </w:p>
    <w:p>
      <w:pPr>
        <w:pStyle w:val="12"/>
        <w:spacing w:line="360" w:lineRule="auto"/>
        <w:rPr>
          <w:b/>
          <w:sz w:val="24"/>
          <w:szCs w:val="24"/>
        </w:rPr>
      </w:pPr>
      <w:bookmarkStart w:id="4" w:name="_Toc453098781"/>
      <w:bookmarkStart w:id="5" w:name="_Toc212266413"/>
    </w:p>
    <w:p>
      <w:pPr>
        <w:pStyle w:val="12"/>
        <w:spacing w:line="360" w:lineRule="auto"/>
        <w:rPr>
          <w:b/>
          <w:sz w:val="24"/>
          <w:szCs w:val="24"/>
        </w:rPr>
      </w:pPr>
    </w:p>
    <w:p>
      <w:pPr>
        <w:pStyle w:val="12"/>
        <w:spacing w:line="360" w:lineRule="auto"/>
        <w:rPr>
          <w:b/>
          <w:sz w:val="24"/>
          <w:szCs w:val="24"/>
        </w:rPr>
      </w:pPr>
    </w:p>
    <w:p>
      <w:pPr>
        <w:pStyle w:val="12"/>
        <w:spacing w:line="360" w:lineRule="auto"/>
        <w:rPr>
          <w:b/>
          <w:sz w:val="24"/>
          <w:szCs w:val="24"/>
        </w:rPr>
      </w:pPr>
    </w:p>
    <w:p>
      <w:pPr>
        <w:pStyle w:val="12"/>
        <w:spacing w:line="360" w:lineRule="auto"/>
        <w:rPr>
          <w:b/>
          <w:sz w:val="24"/>
          <w:szCs w:val="24"/>
        </w:rPr>
      </w:pPr>
    </w:p>
    <w:bookmarkEnd w:id="4"/>
    <w:bookmarkEnd w:id="5"/>
    <w:p>
      <w:pPr>
        <w:pStyle w:val="12"/>
        <w:spacing w:line="360" w:lineRule="auto"/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247" w:right="1134" w:bottom="1247" w:left="1440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6"/>
        <w:szCs w:val="18"/>
      </w:rPr>
    </w:pPr>
  </w:p>
  <w:p>
    <w:pPr>
      <w:pStyle w:val="7"/>
      <w:pBdr>
        <w:top w:val="none" w:color="auto" w:sz="0" w:space="1"/>
      </w:pBdr>
      <w:jc w:val="center"/>
    </w:pPr>
    <w:r>
      <w:rPr>
        <w:rFonts w:hint="eastAsia"/>
      </w:rPr>
      <w:t>第</w:t>
    </w:r>
    <w:r>
      <w:fldChar w:fldCharType="begin"/>
    </w:r>
    <w:r>
      <w:rPr>
        <w:rStyle w:val="16"/>
      </w:rPr>
      <w:instrText xml:space="preserve"> PAGE </w:instrText>
    </w:r>
    <w:r>
      <w:fldChar w:fldCharType="separate"/>
    </w:r>
    <w:r>
      <w:rPr>
        <w:rStyle w:val="16"/>
      </w:rPr>
      <w:t>15</w:t>
    </w:r>
    <w:r>
      <w:fldChar w:fldCharType="end"/>
    </w:r>
    <w:r>
      <w:rPr>
        <w:rFonts w:hint="eastAsia"/>
      </w:rPr>
      <w:t>页</w:t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1</w:t>
    </w:r>
    <w:r>
      <w:fldChar w:fldCharType="end"/>
    </w:r>
  </w:p>
  <w:p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rPr>
        <w:rStyle w:val="16"/>
      </w:rPr>
      <w:instrText xml:space="preserve"> PAGE </w:instrText>
    </w:r>
    <w:r>
      <w:fldChar w:fldCharType="separate"/>
    </w:r>
    <w:r>
      <w:rPr>
        <w:rStyle w:val="16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  <w:rPr>
        <w:rFonts w:ascii="宋体" w:cs="仿宋_GB2312"/>
        <w:iCs/>
        <w:kern w:val="0"/>
        <w:szCs w:val="21"/>
      </w:rPr>
    </w:pPr>
    <w:r>
      <w:rPr>
        <w:rFonts w:hint="eastAsia" w:ascii="宋体" w:hAnsi="宋体"/>
        <w:szCs w:val="21"/>
        <w:shd w:val="clear" w:color="auto" w:fill="FFFFFF"/>
      </w:rPr>
      <w:t>北京大学首钢医院住院楼泵房设备采购及安装调试项目-</w:t>
    </w:r>
    <w:r>
      <w:rPr>
        <w:rFonts w:hint="eastAsia" w:ascii="宋体" w:hAnsi="宋体" w:cs="仿宋_GB2312"/>
        <w:iCs/>
        <w:kern w:val="0"/>
        <w:szCs w:val="21"/>
      </w:rPr>
      <w:t>招标文件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5362F4"/>
    <w:multiLevelType w:val="singleLevel"/>
    <w:tmpl w:val="D75362F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21D2F3B"/>
    <w:multiLevelType w:val="singleLevel"/>
    <w:tmpl w:val="F21D2F3B"/>
    <w:lvl w:ilvl="0" w:tentative="0">
      <w:start w:val="1"/>
      <w:numFmt w:val="decimal"/>
      <w:suff w:val="space"/>
      <w:lvlText w:val="%1."/>
      <w:lvlJc w:val="left"/>
      <w:pPr>
        <w:ind w:left="48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09"/>
    <w:rsid w:val="000539AE"/>
    <w:rsid w:val="001040E1"/>
    <w:rsid w:val="00116709"/>
    <w:rsid w:val="00166C85"/>
    <w:rsid w:val="002A3931"/>
    <w:rsid w:val="003646ED"/>
    <w:rsid w:val="00636EF0"/>
    <w:rsid w:val="008B3914"/>
    <w:rsid w:val="00937471"/>
    <w:rsid w:val="00C25432"/>
    <w:rsid w:val="00C3509F"/>
    <w:rsid w:val="00D5799A"/>
    <w:rsid w:val="00E2423C"/>
    <w:rsid w:val="00E46D21"/>
    <w:rsid w:val="00FA7A9C"/>
    <w:rsid w:val="00FE4450"/>
    <w:rsid w:val="0F90613D"/>
    <w:rsid w:val="121A51BB"/>
    <w:rsid w:val="238B7927"/>
    <w:rsid w:val="2BCF20D4"/>
    <w:rsid w:val="33642BB0"/>
    <w:rsid w:val="3AAC5CCA"/>
    <w:rsid w:val="3ED9698F"/>
    <w:rsid w:val="43EF4FC4"/>
    <w:rsid w:val="4F1C73DC"/>
    <w:rsid w:val="5DD47722"/>
    <w:rsid w:val="5E7917A6"/>
    <w:rsid w:val="6A4405C6"/>
    <w:rsid w:val="6FF65124"/>
    <w:rsid w:val="75F52D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line="240" w:lineRule="atLeast"/>
      <w:jc w:val="center"/>
      <w:outlineLvl w:val="0"/>
    </w:pPr>
    <w:rPr>
      <w:rFonts w:ascii="宋体"/>
      <w:b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widowControl/>
      <w:spacing w:before="260" w:after="260" w:line="415" w:lineRule="auto"/>
      <w:jc w:val="left"/>
      <w:outlineLvl w:val="2"/>
    </w:pPr>
    <w:rPr>
      <w:b/>
      <w:kern w:val="0"/>
      <w:sz w:val="32"/>
      <w:szCs w:val="20"/>
    </w:rPr>
  </w:style>
  <w:style w:type="character" w:default="1" w:styleId="15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33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  <w:pPr>
      <w:tabs>
        <w:tab w:val="right" w:leader="dot" w:pos="9175"/>
      </w:tabs>
      <w:spacing w:line="720" w:lineRule="exact"/>
    </w:pPr>
  </w:style>
  <w:style w:type="paragraph" w:styleId="10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11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2">
    <w:name w:val="Body Text 2"/>
    <w:basedOn w:val="1"/>
    <w:qFormat/>
    <w:uiPriority w:val="0"/>
    <w:pPr>
      <w:adjustRightInd w:val="0"/>
      <w:snapToGrid w:val="0"/>
      <w:spacing w:line="480" w:lineRule="atLeast"/>
    </w:pPr>
    <w:rPr>
      <w:rFonts w:ascii="宋体" w:hAnsi="宋体"/>
      <w:sz w:val="28"/>
      <w:szCs w:val="20"/>
    </w:rPr>
  </w:style>
  <w:style w:type="paragraph" w:styleId="13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800" w:leftChars="400" w:hanging="400" w:hangingChars="400"/>
      <w:jc w:val="left"/>
    </w:pPr>
    <w:rPr>
      <w:rFonts w:ascii="Arial" w:hAnsi="Arial" w:eastAsia="DFKai-SB"/>
      <w:sz w:val="24"/>
      <w:shd w:val="pct20" w:color="auto" w:fill="auto"/>
      <w:lang w:eastAsia="zh-TW"/>
    </w:rPr>
  </w:style>
  <w:style w:type="paragraph" w:styleId="14">
    <w:name w:val="Normal (Web)"/>
    <w:basedOn w:val="1"/>
    <w:qFormat/>
    <w:uiPriority w:val="0"/>
    <w:pPr>
      <w:widowControl/>
      <w:spacing w:line="360" w:lineRule="atLeast"/>
      <w:jc w:val="left"/>
    </w:pPr>
    <w:rPr>
      <w:rFonts w:ascii="宋体" w:hAnsi="宋体"/>
      <w:kern w:val="0"/>
      <w:sz w:val="24"/>
    </w:rPr>
  </w:style>
  <w:style w:type="character" w:styleId="16">
    <w:name w:val="page number"/>
    <w:basedOn w:val="15"/>
    <w:qFormat/>
    <w:uiPriority w:val="0"/>
  </w:style>
  <w:style w:type="character" w:styleId="17">
    <w:name w:val="FollowedHyperlink"/>
    <w:basedOn w:val="15"/>
    <w:qFormat/>
    <w:uiPriority w:val="0"/>
    <w:rPr>
      <w:color w:val="CC0000"/>
      <w:u w:val="single"/>
    </w:rPr>
  </w:style>
  <w:style w:type="character" w:styleId="18">
    <w:name w:val="Emphasis"/>
    <w:basedOn w:val="15"/>
    <w:qFormat/>
    <w:uiPriority w:val="0"/>
  </w:style>
  <w:style w:type="character" w:styleId="19">
    <w:name w:val="Hyperlink"/>
    <w:basedOn w:val="15"/>
    <w:qFormat/>
    <w:uiPriority w:val="0"/>
    <w:rPr>
      <w:rFonts w:eastAsia="仿宋_GB2312"/>
      <w:color w:val="0000FF"/>
      <w:sz w:val="28"/>
      <w:szCs w:val="24"/>
      <w:u w:val="single"/>
    </w:rPr>
  </w:style>
  <w:style w:type="character" w:styleId="20">
    <w:name w:val="footnote reference"/>
    <w:qFormat/>
    <w:uiPriority w:val="0"/>
    <w:rPr>
      <w:vertAlign w:val="superscript"/>
    </w:rPr>
  </w:style>
  <w:style w:type="table" w:styleId="22">
    <w:name w:val="Table Grid"/>
    <w:basedOn w:val="21"/>
    <w:qFormat/>
    <w:uiPriority w:val="0"/>
    <w:rPr>
      <w:rFonts w:ascii="Calibri" w:hAnsi="Calibri" w:eastAsia="微软雅黑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列出段落11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24">
    <w:name w:val="_Style 7"/>
    <w:basedOn w:val="1"/>
    <w:qFormat/>
    <w:uiPriority w:val="99"/>
    <w:pPr>
      <w:ind w:firstLine="420" w:firstLineChars="200"/>
    </w:pPr>
    <w:rPr>
      <w:rFonts w:cs="Calibri"/>
      <w:szCs w:val="21"/>
    </w:rPr>
  </w:style>
  <w:style w:type="character" w:customStyle="1" w:styleId="25">
    <w:name w:val="font61"/>
    <w:basedOn w:val="1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6">
    <w:name w:val="font41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27">
    <w:name w:val="列出段落11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28">
    <w:name w:val="列出段落2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29">
    <w:name w:val="中等深浅网格 1 - 强调文字颜色 21"/>
    <w:basedOn w:val="1"/>
    <w:qFormat/>
    <w:uiPriority w:val="0"/>
    <w:pPr>
      <w:spacing w:line="500" w:lineRule="exact"/>
      <w:ind w:firstLine="420" w:firstLineChars="200"/>
    </w:pPr>
    <w:rPr>
      <w:kern w:val="0"/>
    </w:rPr>
  </w:style>
  <w:style w:type="paragraph" w:customStyle="1" w:styleId="30">
    <w:name w:val="投标文件正文"/>
    <w:basedOn w:val="1"/>
    <w:qFormat/>
    <w:uiPriority w:val="0"/>
    <w:pPr>
      <w:spacing w:line="400" w:lineRule="exact"/>
      <w:ind w:firstLine="480" w:firstLineChars="200"/>
    </w:pPr>
    <w:rPr>
      <w:rFonts w:ascii="Arial" w:hAnsi="Arial"/>
      <w:sz w:val="24"/>
    </w:rPr>
  </w:style>
  <w:style w:type="paragraph" w:customStyle="1" w:styleId="31">
    <w:name w:val="中等深浅网格 1 - 着色 21"/>
    <w:basedOn w:val="1"/>
    <w:qFormat/>
    <w:uiPriority w:val="0"/>
    <w:pPr>
      <w:spacing w:line="500" w:lineRule="exact"/>
      <w:ind w:firstLine="420" w:firstLineChars="200"/>
    </w:pPr>
    <w:rPr>
      <w:kern w:val="0"/>
    </w:rPr>
  </w:style>
  <w:style w:type="character" w:customStyle="1" w:styleId="32">
    <w:name w:val="apple-converted-space"/>
    <w:basedOn w:val="15"/>
    <w:qFormat/>
    <w:uiPriority w:val="0"/>
  </w:style>
  <w:style w:type="character" w:customStyle="1" w:styleId="33">
    <w:name w:val="批注框文本 Char"/>
    <w:basedOn w:val="15"/>
    <w:link w:val="6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customStyle="1" w:styleId="34">
    <w:name w:val="正文_0_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12733A-CF6D-44B3-BC5D-882AEA7539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1917</Words>
  <Characters>10928</Characters>
  <Lines>91</Lines>
  <Paragraphs>25</Paragraphs>
  <ScaleCrop>false</ScaleCrop>
  <LinksUpToDate>false</LinksUpToDate>
  <CharactersWithSpaces>12820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2018-08-10T02:18:00Z</dcterms:created>
  <dc:creator>Administrator</dc:creator>
  <cp:lastModifiedBy>宣教中心</cp:lastModifiedBy>
  <cp:lastPrinted>2018-08-15T00:53:00Z</cp:lastPrinted>
  <dcterms:modified xsi:type="dcterms:W3CDTF">2018-08-15T08:01:52Z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